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453" w:rsidRDefault="007D0453">
      <w:pPr>
        <w:spacing w:line="360" w:lineRule="auto"/>
        <w:ind w:left="-280"/>
        <w:jc w:val="right"/>
        <w:rPr>
          <w:rFonts w:ascii="Cambria" w:eastAsia="Cambria" w:hAnsi="Cambria" w:cs="Cambria"/>
        </w:rPr>
      </w:pPr>
    </w:p>
    <w:p w:rsidR="007D0453" w:rsidRDefault="00684A5F">
      <w:pPr>
        <w:spacing w:line="360" w:lineRule="auto"/>
        <w:ind w:left="-2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Ushuaia, </w:t>
      </w:r>
      <w:proofErr w:type="spellStart"/>
      <w:r w:rsidR="00EA4565">
        <w:rPr>
          <w:rFonts w:ascii="Cambria" w:eastAsia="Cambria" w:hAnsi="Cambria" w:cs="Cambria"/>
          <w:sz w:val="24"/>
          <w:szCs w:val="24"/>
        </w:rPr>
        <w:t>xxxxxxx</w:t>
      </w:r>
      <w:proofErr w:type="spellEnd"/>
      <w:r w:rsidR="00EA4565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de </w:t>
      </w:r>
      <w:proofErr w:type="spellStart"/>
      <w:r w:rsidR="00EA4565">
        <w:rPr>
          <w:rFonts w:ascii="Cambria" w:eastAsia="Cambria" w:hAnsi="Cambria" w:cs="Cambria"/>
          <w:sz w:val="24"/>
          <w:szCs w:val="24"/>
        </w:rPr>
        <w:t>xxxxxxxx</w:t>
      </w:r>
      <w:proofErr w:type="spellEnd"/>
      <w:r w:rsidR="00EA4565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de </w:t>
      </w:r>
      <w:r w:rsidR="00EA4565">
        <w:rPr>
          <w:rFonts w:ascii="Cambria" w:eastAsia="Cambria" w:hAnsi="Cambria" w:cs="Cambria"/>
          <w:sz w:val="24"/>
          <w:szCs w:val="24"/>
        </w:rPr>
        <w:t>2021</w:t>
      </w:r>
    </w:p>
    <w:p w:rsidR="007D0453" w:rsidRDefault="00684A5F">
      <w:pPr>
        <w:spacing w:line="360" w:lineRule="auto"/>
        <w:ind w:firstLine="720"/>
        <w:jc w:val="right"/>
      </w:pPr>
      <w:r>
        <w:rPr>
          <w:sz w:val="19"/>
          <w:szCs w:val="19"/>
        </w:rPr>
        <w:t xml:space="preserve"> </w:t>
      </w:r>
      <w:r>
        <w:t>SOLICITA SE PROVEA INFORMACIÓN</w:t>
      </w:r>
    </w:p>
    <w:p w:rsidR="007D0453" w:rsidRPr="00EA4565" w:rsidRDefault="00684A5F">
      <w:pPr>
        <w:spacing w:line="360" w:lineRule="auto"/>
        <w:ind w:right="4140"/>
        <w:rPr>
          <w:highlight w:val="yellow"/>
        </w:rPr>
      </w:pPr>
      <w:r w:rsidRPr="00EA4565">
        <w:rPr>
          <w:highlight w:val="yellow"/>
        </w:rPr>
        <w:t xml:space="preserve">Secretario de Agroindustria y Pesca </w:t>
      </w:r>
    </w:p>
    <w:p w:rsidR="007D0453" w:rsidRPr="00EA4565" w:rsidRDefault="00684A5F">
      <w:pPr>
        <w:spacing w:line="360" w:lineRule="auto"/>
        <w:ind w:right="4140"/>
        <w:rPr>
          <w:highlight w:val="yellow"/>
        </w:rPr>
      </w:pPr>
      <w:r w:rsidRPr="00EA4565">
        <w:rPr>
          <w:highlight w:val="yellow"/>
        </w:rPr>
        <w:t xml:space="preserve">Ing. Agr. Kevin </w:t>
      </w:r>
      <w:proofErr w:type="spellStart"/>
      <w:r w:rsidRPr="00EA4565">
        <w:rPr>
          <w:highlight w:val="yellow"/>
        </w:rPr>
        <w:t>Colli</w:t>
      </w:r>
      <w:proofErr w:type="spellEnd"/>
    </w:p>
    <w:p w:rsidR="007D0453" w:rsidRDefault="00684A5F">
      <w:pPr>
        <w:spacing w:line="360" w:lineRule="auto"/>
        <w:ind w:right="3960"/>
      </w:pPr>
      <w:r w:rsidRPr="00EA4565">
        <w:rPr>
          <w:highlight w:val="yellow"/>
        </w:rPr>
        <w:t>Ministerio de Agricultura, Ganadería y Pesca Provincia de Tierra del Fuego</w:t>
      </w:r>
    </w:p>
    <w:p w:rsidR="007D0453" w:rsidRDefault="00684A5F">
      <w:pPr>
        <w:spacing w:line="360" w:lineRule="auto"/>
        <w:jc w:val="both"/>
      </w:pPr>
      <w:r>
        <w:t>S / D</w:t>
      </w:r>
    </w:p>
    <w:p w:rsidR="007D0453" w:rsidRDefault="00EA4565">
      <w:pPr>
        <w:spacing w:line="360" w:lineRule="auto"/>
        <w:ind w:firstLine="720"/>
        <w:jc w:val="both"/>
      </w:pPr>
      <w:r w:rsidRPr="00EA4565">
        <w:rPr>
          <w:highlight w:val="yellow"/>
        </w:rPr>
        <w:t>FULANO DE TAL</w:t>
      </w:r>
      <w:r w:rsidR="00684A5F">
        <w:t xml:space="preserve">, </w:t>
      </w:r>
      <w:r>
        <w:t xml:space="preserve">DNI </w:t>
      </w:r>
      <w:r w:rsidRPr="00EA4565">
        <w:rPr>
          <w:highlight w:val="yellow"/>
        </w:rPr>
        <w:t>XXXXXXXXXXXX,</w:t>
      </w:r>
      <w:r>
        <w:t xml:space="preserve"> </w:t>
      </w:r>
      <w:r w:rsidR="00684A5F">
        <w:t xml:space="preserve">con domicilio en la calle </w:t>
      </w:r>
      <w:r w:rsidRPr="00EA4565">
        <w:rPr>
          <w:highlight w:val="yellow"/>
        </w:rPr>
        <w:t>XXXXXXXXXXXXXXX</w:t>
      </w:r>
      <w:r w:rsidR="00684A5F" w:rsidRPr="00EA4565">
        <w:rPr>
          <w:highlight w:val="yellow"/>
        </w:rPr>
        <w:t>,</w:t>
      </w:r>
      <w:r w:rsidR="00684A5F">
        <w:t xml:space="preserve"> Ushuaia y constituyendo domicilio a todos los efectos del presente en la calle </w:t>
      </w:r>
      <w:r w:rsidRPr="00EA4565">
        <w:rPr>
          <w:highlight w:val="yellow"/>
        </w:rPr>
        <w:t>XXXXXXXXXXXXXXX</w:t>
      </w:r>
      <w:r w:rsidR="00684A5F" w:rsidRPr="00EA4565">
        <w:rPr>
          <w:highlight w:val="yellow"/>
        </w:rPr>
        <w:t>,</w:t>
      </w:r>
      <w:r w:rsidR="00684A5F">
        <w:t xml:space="preserve"> C</w:t>
      </w:r>
      <w:r w:rsidR="00684A5F">
        <w:t>iudad de Ushuaia, Tierra del Fuego (9410</w:t>
      </w:r>
      <w:r w:rsidR="00684A5F">
        <w:t xml:space="preserve"> se presenta y respetuosamente dice:</w:t>
      </w:r>
    </w:p>
    <w:p w:rsidR="007D0453" w:rsidRDefault="007D0453">
      <w:pPr>
        <w:spacing w:line="360" w:lineRule="auto"/>
        <w:ind w:firstLine="720"/>
        <w:jc w:val="both"/>
      </w:pPr>
    </w:p>
    <w:p w:rsidR="007D0453" w:rsidRDefault="00684A5F">
      <w:pPr>
        <w:spacing w:line="360" w:lineRule="auto"/>
        <w:ind w:left="720" w:firstLine="720"/>
      </w:pPr>
      <w:r>
        <w:t>I.            - OBJETO</w:t>
      </w:r>
    </w:p>
    <w:p w:rsidR="007D0453" w:rsidRDefault="00684A5F">
      <w:pPr>
        <w:spacing w:after="340" w:line="360" w:lineRule="auto"/>
        <w:ind w:firstLine="700"/>
        <w:jc w:val="both"/>
      </w:pPr>
      <w:r>
        <w:t xml:space="preserve">Que de conformidad con lo establecido por la Ley </w:t>
      </w:r>
      <w:r w:rsidR="00EA4565">
        <w:t xml:space="preserve">Nº 653/2004 </w:t>
      </w:r>
      <w:r>
        <w:t xml:space="preserve">sobre el Derecho de Acceso a la Información Pública, viene a solicitar provea información relativa a </w:t>
      </w:r>
      <w:r w:rsidR="00EA4565">
        <w:t>la iniciativa</w:t>
      </w:r>
      <w:r>
        <w:t xml:space="preserve"> de </w:t>
      </w:r>
      <w:proofErr w:type="spellStart"/>
      <w:r w:rsidR="00EA4565" w:rsidRPr="00EA4565">
        <w:rPr>
          <w:highlight w:val="yellow"/>
        </w:rPr>
        <w:t>xxxxxxxxxxxxxxxxxx</w:t>
      </w:r>
      <w:proofErr w:type="spellEnd"/>
      <w:r w:rsidRPr="00EA4565">
        <w:rPr>
          <w:highlight w:val="yellow"/>
        </w:rPr>
        <w:t>.</w:t>
      </w:r>
    </w:p>
    <w:p w:rsidR="007D0453" w:rsidRDefault="00684A5F">
      <w:pPr>
        <w:spacing w:line="360" w:lineRule="auto"/>
        <w:ind w:left="720" w:firstLine="720"/>
      </w:pPr>
      <w:r>
        <w:t>II- FUNDAMENTO FÁCTICO Y JURÍDICO</w:t>
      </w:r>
    </w:p>
    <w:p w:rsidR="007D0453" w:rsidRDefault="007D0453">
      <w:pPr>
        <w:spacing w:line="360" w:lineRule="auto"/>
        <w:ind w:left="720" w:firstLine="720"/>
      </w:pPr>
    </w:p>
    <w:p w:rsidR="007D0453" w:rsidRDefault="00684A5F">
      <w:pPr>
        <w:spacing w:line="360" w:lineRule="auto"/>
        <w:ind w:firstLine="700"/>
        <w:jc w:val="both"/>
      </w:pPr>
      <w:r>
        <w:t xml:space="preserve">La información ambiental constituye uno </w:t>
      </w:r>
      <w:r>
        <w:t>de los pilares fundamentales para llevar a cabo una adecuada gestión ambiental, y resulta indispensable para evaluar el resultado de las políticas implementadas, apreciando las previstas para el mediano y largo plazo.</w:t>
      </w:r>
    </w:p>
    <w:p w:rsidR="007D0453" w:rsidRDefault="00684A5F">
      <w:pPr>
        <w:spacing w:line="360" w:lineRule="auto"/>
        <w:ind w:firstLine="720"/>
        <w:jc w:val="both"/>
      </w:pPr>
      <w:r>
        <w:t>Asimismo, la información ambiental con</w:t>
      </w:r>
      <w:r>
        <w:t>stituye un requisito esencial para que la sociedad conozca, comprenda y participe en las decisiones que puedan afectar su propia calidad de vida y la de las futuras generaciones. Para ello, es indispensable garantizar el acceso a dicho información como una</w:t>
      </w:r>
      <w:r>
        <w:t xml:space="preserve"> forma básica de participación de la ciudadanía, en cumplimiento de su deber de preservar el medio ambiente.</w:t>
      </w:r>
    </w:p>
    <w:p w:rsidR="007D0453" w:rsidRDefault="00684A5F">
      <w:pPr>
        <w:spacing w:line="360" w:lineRule="auto"/>
        <w:ind w:firstLine="660"/>
        <w:jc w:val="both"/>
      </w:pPr>
      <w:r>
        <w:t>Al efecto, se cuenta con la regulación de la Ley de presupuestos mínimos 25.831 de Acceso a la Información Pública Ambiental que brinda un marco regulatorio al derecho consagrado en los pactos internacionales de derechos humanos, anteriormente citados, inc</w:t>
      </w:r>
      <w:r>
        <w:t xml:space="preserve">orporados a la Constitución. El acceso a la información y el derecho a un ambiente sano a nivel nacional, descansan en primer lugar en el artículo 41 de la Constitución Nacional que establece que “todos los habitantes gozan del derecho a un ambiente sano, </w:t>
      </w:r>
      <w:r>
        <w:t>equilibrado, apto para el desarrollo humano y para que las actividades productivas satisfagan las necesidades presentes sin comprometer las de las generaciones futuras; y tienen el deber de preservarlo. El daño ambiental generará prioritariamente la obliga</w:t>
      </w:r>
      <w:r>
        <w:t>ción de recomponer, según lo establezca la ley; Las autoridades proveerán a la protección de este derecho, a la utilización racional de los recursos naturales, a la preservación del patrimonio natural y cultural y de la diversidad biológica, y a la informa</w:t>
      </w:r>
      <w:r>
        <w:t>ción y educación ambientales”.</w:t>
      </w:r>
    </w:p>
    <w:p w:rsidR="007D0453" w:rsidRDefault="00684A5F">
      <w:pPr>
        <w:spacing w:line="360" w:lineRule="auto"/>
        <w:ind w:firstLine="340"/>
        <w:jc w:val="both"/>
      </w:pPr>
      <w:r>
        <w:t>Asimismo, la Ley 25.675 establece en sus artículos 16 a 18 la facultad de todo habitante de “obtener de las autoridades la información ambiental que administren y que no se encuentre contemplada legalmente como reservada”.</w:t>
      </w:r>
    </w:p>
    <w:p w:rsidR="007D0453" w:rsidRDefault="00684A5F">
      <w:pPr>
        <w:spacing w:line="360" w:lineRule="auto"/>
        <w:ind w:firstLine="340"/>
        <w:jc w:val="both"/>
      </w:pPr>
      <w:r>
        <w:t>El</w:t>
      </w:r>
      <w:r>
        <w:t xml:space="preserve"> artículo 1 de la Ley 25.831 garantiza “el acceso a la información ambiental que se encontrare en poder del estado, tanto en el ámbito Nacional, como Provincial, Municipal y de la </w:t>
      </w:r>
      <w:r>
        <w:lastRenderedPageBreak/>
        <w:t>Ciudad Autónoma de Buenos Aires, como así también de los entes autárquicos y</w:t>
      </w:r>
      <w:r>
        <w:t xml:space="preserve"> empresas prestadoras de servicios públicos, sean públicas, privadas o mixtas”. Asimismo, en cuanto a qué se considera información ambiental, la misma ley establece: “...toda aquella información en cualquier forma de expresión o soporte relacionada con el </w:t>
      </w:r>
      <w:r>
        <w:t>ambiente, los recursos naturales o culturales y el desarrollo sustentable. En particular: a) El estado del ambiente o alguno de sus componentes naturales o culturales, incluidas sus interacciones recíprocas, así como las actividades y obras que los afecten</w:t>
      </w:r>
      <w:r>
        <w:t xml:space="preserve"> o puedan afectar significativamente; b) Las políticas, los planes, programas y acciones referidas a la gestión del ambiente... (...)” (artículo 2).</w:t>
      </w:r>
    </w:p>
    <w:p w:rsidR="007D0453" w:rsidRDefault="00684A5F">
      <w:pPr>
        <w:spacing w:line="360" w:lineRule="auto"/>
        <w:ind w:firstLine="340"/>
        <w:jc w:val="both"/>
      </w:pPr>
      <w:r>
        <w:t>En cuanto a la legitimación para ejercer el derecho al acceso a la información ambiental, la mencionada ley</w:t>
      </w:r>
      <w:r>
        <w:t xml:space="preserve"> dispone que el mismo: “...será libre y gratuito para toda persona física o jurídica, a excepción de aquellos gastos vinculados con los recursos utilizados para la entrega de la información solicitada...” y agrega que para acceder a la misma: “(...) no ser</w:t>
      </w:r>
      <w:r>
        <w:t>á necesario acreditar razones ni interés determinado”.</w:t>
      </w:r>
    </w:p>
    <w:p w:rsidR="007D0453" w:rsidRDefault="00684A5F">
      <w:pPr>
        <w:spacing w:line="360" w:lineRule="auto"/>
        <w:ind w:firstLine="680"/>
        <w:jc w:val="both"/>
      </w:pPr>
      <w:r>
        <w:t>El ciudadano debe poder tener acceso a la información que compromete el medio ambiente y su calidad de vida, y debe garantizarse la posibilidad de que participe y controle las decisiones que se toman al respecto, con el objeto de, preventivamente</w:t>
      </w:r>
      <w:r>
        <w:t>, evitar la producción de daños que, dada la característica de los bienes involucrados son de difícil a imposible recuperación.</w:t>
      </w:r>
    </w:p>
    <w:p w:rsidR="007D0453" w:rsidRDefault="00684A5F">
      <w:pPr>
        <w:spacing w:line="360" w:lineRule="auto"/>
        <w:ind w:firstLine="680"/>
        <w:jc w:val="both"/>
      </w:pPr>
      <w:r>
        <w:t>El derecho de acceso a la información pública incluye el acceso, por parte de cualquier persona, a la documentación integrada po</w:t>
      </w:r>
      <w:r>
        <w:t>r los expedientes públicos, minutas de reuniones, correspondencia, dictámenes técnicos, estudios científicos o a cualquier documentación financiada por los presupuestos públicos. También abarca la información sobre políticas, programas, planes y proyectos,</w:t>
      </w:r>
      <w:r>
        <w:t xml:space="preserve"> sobre las diversas instancias de la toma de decisiones, las oportunidades para efectuar comentarios orales o escritos, las opiniones provenientes del público y de organizaciones técnicas.</w:t>
      </w:r>
    </w:p>
    <w:p w:rsidR="007D0453" w:rsidRDefault="00684A5F">
      <w:pPr>
        <w:spacing w:line="360" w:lineRule="auto"/>
        <w:ind w:firstLine="680"/>
        <w:jc w:val="both"/>
      </w:pPr>
      <w:r>
        <w:t>El Estado en cualquiera de sus niveles (nacional, provincial y muni</w:t>
      </w:r>
      <w:r>
        <w:t xml:space="preserve">cipal) debe promover la elaboración de políticas de acceso a la información pública que faciliten su conocimiento y difusión hacia todos los sectores de la sociedad que así lo requieran, a fin de garantizar el derecho de participación de los ciudadanos en </w:t>
      </w:r>
      <w:r>
        <w:t>los asuntos públicos y de proveer los elementos necesarios para ejercer la crítica y el control sobre las políticas públicas.</w:t>
      </w:r>
    </w:p>
    <w:p w:rsidR="007D0453" w:rsidRDefault="00684A5F">
      <w:pPr>
        <w:spacing w:line="360" w:lineRule="auto"/>
        <w:ind w:firstLine="680"/>
        <w:jc w:val="both"/>
      </w:pPr>
      <w:r>
        <w:t>La falta de acceso, por parte de la población, a la información pública, impide la democratización del sistema, dando lugar a la p</w:t>
      </w:r>
      <w:r>
        <w:t>roliferación de conductas corruptas dentro del aparato estatal y promoviendo políticas de fragmentación y discriminación dentro de la sociedad.</w:t>
      </w:r>
    </w:p>
    <w:p w:rsidR="007D0453" w:rsidRDefault="00684A5F">
      <w:pPr>
        <w:spacing w:line="360" w:lineRule="auto"/>
        <w:ind w:firstLine="340"/>
        <w:jc w:val="both"/>
      </w:pPr>
      <w:r>
        <w:t>Adicionalmente, y en línea con lo arriba señalado, el derecho de acceso a la información pública también se encu</w:t>
      </w:r>
      <w:r>
        <w:t>entra consagrado por legislación provincial, a saber, la Ley 653</w:t>
      </w:r>
      <w:r w:rsidR="00EA4565">
        <w:t>/2004</w:t>
      </w:r>
      <w:r>
        <w:t>.</w:t>
      </w:r>
    </w:p>
    <w:p w:rsidR="007D0453" w:rsidRDefault="00684A5F">
      <w:pPr>
        <w:spacing w:line="360" w:lineRule="auto"/>
        <w:ind w:firstLine="680"/>
        <w:jc w:val="both"/>
      </w:pPr>
      <w:r w:rsidRPr="00EA4565">
        <w:rPr>
          <w:highlight w:val="yellow"/>
        </w:rPr>
        <w:t>En línea con lo expresado en los párrafos precedentes, y preocupada por los impactos socio-ambientales que pueden derivarse de anunciadas iniciativas de acuicultura en Tierra del Fuego, part</w:t>
      </w:r>
      <w:r w:rsidRPr="00EA4565">
        <w:rPr>
          <w:highlight w:val="yellow"/>
        </w:rPr>
        <w:t xml:space="preserve">icularmente ante la posible liberación de especies exóticas, es que Asociación </w:t>
      </w:r>
      <w:proofErr w:type="spellStart"/>
      <w:r w:rsidRPr="00EA4565">
        <w:rPr>
          <w:highlight w:val="yellow"/>
        </w:rPr>
        <w:t>Manekenk</w:t>
      </w:r>
      <w:proofErr w:type="spellEnd"/>
      <w:r w:rsidRPr="00EA4565">
        <w:rPr>
          <w:highlight w:val="yellow"/>
        </w:rPr>
        <w:t xml:space="preserve"> viene a interponer el presente pedido de acceso a la información pública ambiental y solicita tenga bien responder a las preguntas formuladas infra.</w:t>
      </w:r>
    </w:p>
    <w:p w:rsidR="007D0453" w:rsidRDefault="007D0453">
      <w:pPr>
        <w:spacing w:line="360" w:lineRule="auto"/>
        <w:ind w:firstLine="680"/>
        <w:jc w:val="both"/>
      </w:pPr>
    </w:p>
    <w:p w:rsidR="007D0453" w:rsidRDefault="00684A5F">
      <w:pPr>
        <w:spacing w:line="360" w:lineRule="auto"/>
        <w:ind w:left="2320"/>
      </w:pPr>
      <w:r>
        <w:t xml:space="preserve">III.- INFORMACIÓN </w:t>
      </w:r>
      <w:r>
        <w:t>SOLICITADA</w:t>
      </w:r>
    </w:p>
    <w:p w:rsidR="007D0453" w:rsidRDefault="007D0453">
      <w:pPr>
        <w:spacing w:line="360" w:lineRule="auto"/>
        <w:ind w:left="2320"/>
      </w:pPr>
    </w:p>
    <w:p w:rsidR="007D0453" w:rsidRDefault="00684A5F">
      <w:pPr>
        <w:spacing w:line="360" w:lineRule="auto"/>
        <w:ind w:firstLine="720"/>
        <w:jc w:val="both"/>
      </w:pPr>
      <w:r>
        <w:t>1.    Respecto a su nota Nº 321 LETRA S. A. y P del 12 de diciembre de 2018:</w:t>
      </w:r>
    </w:p>
    <w:p w:rsidR="007D0453" w:rsidRDefault="00684A5F">
      <w:pPr>
        <w:spacing w:line="360" w:lineRule="auto"/>
        <w:ind w:left="1160" w:hanging="400"/>
        <w:jc w:val="both"/>
      </w:pPr>
      <w:r>
        <w:lastRenderedPageBreak/>
        <w:t xml:space="preserve">1.1. Indique fecha de inicio y fecha de finalización del Estudio de Campo indicado en su nota detallando tiempos, involucrados, responsables y </w:t>
      </w:r>
      <w:proofErr w:type="gramStart"/>
      <w:r>
        <w:t>presupuesto  para</w:t>
      </w:r>
      <w:proofErr w:type="gramEnd"/>
      <w:r>
        <w:t xml:space="preserve"> evalua</w:t>
      </w:r>
      <w:r>
        <w:t>r la factibilidad del desarrollo de la acuicultura en Tierra del Fuego a partir de la firma del acuerdo con Noruega.</w:t>
      </w:r>
    </w:p>
    <w:p w:rsidR="007D0453" w:rsidRDefault="00684A5F">
      <w:pPr>
        <w:spacing w:line="360" w:lineRule="auto"/>
        <w:ind w:left="1160" w:hanging="400"/>
        <w:jc w:val="both"/>
      </w:pPr>
      <w:r>
        <w:t>1.2. En medios de comunicación locales, en el día de la fecha se expresa que los estudios se encuentran concluidos. En caso de estar finali</w:t>
      </w:r>
      <w:r>
        <w:t xml:space="preserve">zado dicho estudio, provea copia del mismo a la Asociación </w:t>
      </w:r>
      <w:proofErr w:type="spellStart"/>
      <w:r>
        <w:t>Manekenk</w:t>
      </w:r>
      <w:proofErr w:type="spellEnd"/>
    </w:p>
    <w:p w:rsidR="007D0453" w:rsidRDefault="00684A5F">
      <w:pPr>
        <w:spacing w:line="360" w:lineRule="auto"/>
        <w:ind w:left="1160" w:hanging="400"/>
        <w:jc w:val="both"/>
      </w:pPr>
      <w:r>
        <w:t xml:space="preserve">1.3 En caso de no estar finalizado el mismo provea la siguiente información: </w:t>
      </w:r>
    </w:p>
    <w:p w:rsidR="007D0453" w:rsidRDefault="00684A5F">
      <w:pPr>
        <w:numPr>
          <w:ilvl w:val="0"/>
          <w:numId w:val="1"/>
        </w:numPr>
        <w:spacing w:line="360" w:lineRule="auto"/>
        <w:jc w:val="both"/>
      </w:pPr>
      <w:r>
        <w:t>Los términos de referencia aplicados;</w:t>
      </w:r>
    </w:p>
    <w:p w:rsidR="007D0453" w:rsidRDefault="00684A5F">
      <w:pPr>
        <w:numPr>
          <w:ilvl w:val="0"/>
          <w:numId w:val="1"/>
        </w:numPr>
        <w:spacing w:line="360" w:lineRule="auto"/>
        <w:jc w:val="both"/>
      </w:pPr>
      <w:r>
        <w:t>Líneas de base consideradas;</w:t>
      </w:r>
    </w:p>
    <w:p w:rsidR="007D0453" w:rsidRDefault="00684A5F">
      <w:pPr>
        <w:numPr>
          <w:ilvl w:val="0"/>
          <w:numId w:val="1"/>
        </w:numPr>
        <w:spacing w:line="360" w:lineRule="auto"/>
        <w:jc w:val="both"/>
      </w:pPr>
      <w:r>
        <w:t>Sistema de control;</w:t>
      </w:r>
    </w:p>
    <w:p w:rsidR="007D0453" w:rsidRDefault="00684A5F">
      <w:pPr>
        <w:numPr>
          <w:ilvl w:val="0"/>
          <w:numId w:val="1"/>
        </w:numPr>
        <w:spacing w:line="360" w:lineRule="auto"/>
        <w:jc w:val="both"/>
      </w:pPr>
      <w:r>
        <w:t>Impactos sobre el medio ambiente terrestre y marino;</w:t>
      </w:r>
    </w:p>
    <w:p w:rsidR="007D0453" w:rsidRDefault="00684A5F">
      <w:pPr>
        <w:numPr>
          <w:ilvl w:val="0"/>
          <w:numId w:val="1"/>
        </w:numPr>
        <w:spacing w:line="360" w:lineRule="auto"/>
        <w:jc w:val="both"/>
      </w:pPr>
      <w:r>
        <w:t>Impacto sobre la biodiversidad;</w:t>
      </w:r>
    </w:p>
    <w:p w:rsidR="007D0453" w:rsidRDefault="00684A5F">
      <w:pPr>
        <w:numPr>
          <w:ilvl w:val="0"/>
          <w:numId w:val="1"/>
        </w:numPr>
        <w:spacing w:line="360" w:lineRule="auto"/>
        <w:jc w:val="both"/>
      </w:pPr>
      <w:r>
        <w:t>Impacto socioeconómico;</w:t>
      </w:r>
    </w:p>
    <w:p w:rsidR="007D0453" w:rsidRDefault="00684A5F">
      <w:pPr>
        <w:numPr>
          <w:ilvl w:val="0"/>
          <w:numId w:val="1"/>
        </w:numPr>
        <w:spacing w:line="360" w:lineRule="auto"/>
        <w:jc w:val="both"/>
      </w:pPr>
      <w:r>
        <w:t>Sistemas de mitigación de impactos visuales, de vertimientos químicos, sólidos y remanentes de la actividad, tanto sobre el medio marino como terre</w:t>
      </w:r>
      <w:r>
        <w:t>stre.</w:t>
      </w:r>
    </w:p>
    <w:p w:rsidR="007D0453" w:rsidRDefault="00684A5F">
      <w:pPr>
        <w:numPr>
          <w:ilvl w:val="0"/>
          <w:numId w:val="1"/>
        </w:numPr>
        <w:spacing w:line="360" w:lineRule="auto"/>
        <w:jc w:val="both"/>
      </w:pPr>
      <w:r>
        <w:t>Posiciones de los lugares relevados como posibles para el emplazamiento de confinamiento de peces;</w:t>
      </w:r>
    </w:p>
    <w:p w:rsidR="007D0453" w:rsidRDefault="00684A5F">
      <w:pPr>
        <w:numPr>
          <w:ilvl w:val="0"/>
          <w:numId w:val="1"/>
        </w:numPr>
        <w:spacing w:line="360" w:lineRule="auto"/>
        <w:jc w:val="both"/>
      </w:pPr>
      <w:r>
        <w:t>Resultados de los relevamientos incluidos en el estudio de cargas y posiciones;</w:t>
      </w:r>
    </w:p>
    <w:p w:rsidR="007D0453" w:rsidRDefault="00684A5F">
      <w:pPr>
        <w:numPr>
          <w:ilvl w:val="0"/>
          <w:numId w:val="1"/>
        </w:numPr>
        <w:spacing w:line="360" w:lineRule="auto"/>
        <w:jc w:val="both"/>
      </w:pPr>
      <w:r>
        <w:t>En referencia a los estudios de carga y localizaciones realizados en las experiencias de los años 1993 y 2002, estudios que se mencionan en el Acuerdo Específico suscrito, info</w:t>
      </w:r>
      <w:r>
        <w:t>rme: resultados económicos, ambientales y sociales obtenidos en aquellas experiencias.</w:t>
      </w:r>
    </w:p>
    <w:p w:rsidR="007D0453" w:rsidRDefault="007D0453">
      <w:pPr>
        <w:spacing w:line="360" w:lineRule="auto"/>
        <w:ind w:left="2700" w:hanging="360"/>
        <w:jc w:val="both"/>
      </w:pPr>
    </w:p>
    <w:p w:rsidR="007D0453" w:rsidRDefault="007D0453">
      <w:pPr>
        <w:spacing w:line="360" w:lineRule="auto"/>
        <w:ind w:firstLine="740"/>
        <w:jc w:val="both"/>
      </w:pPr>
    </w:p>
    <w:p w:rsidR="007D0453" w:rsidRDefault="00684A5F">
      <w:pPr>
        <w:spacing w:line="360" w:lineRule="auto"/>
        <w:ind w:left="1440"/>
      </w:pPr>
      <w:r>
        <w:t>V. - FORMULA RESERVA</w:t>
      </w:r>
    </w:p>
    <w:p w:rsidR="007D0453" w:rsidRDefault="007D0453">
      <w:pPr>
        <w:spacing w:line="360" w:lineRule="auto"/>
        <w:ind w:left="1440" w:firstLine="720"/>
      </w:pPr>
    </w:p>
    <w:p w:rsidR="007D0453" w:rsidRDefault="00684A5F">
      <w:pPr>
        <w:spacing w:line="360" w:lineRule="auto"/>
        <w:ind w:firstLine="740"/>
        <w:jc w:val="both"/>
      </w:pPr>
      <w:r>
        <w:t>De acuerdo a lo dispuesto por el artículo 9 de la Ley 25.831 se formula reserva de promover la pertinente acción judicial por la eventual falta de respuesta o ante una respuesta parcial a nuestro pedido.</w:t>
      </w:r>
    </w:p>
    <w:p w:rsidR="007D0453" w:rsidRDefault="00684A5F">
      <w:pPr>
        <w:spacing w:line="360" w:lineRule="auto"/>
        <w:ind w:firstLine="740"/>
        <w:jc w:val="both"/>
      </w:pPr>
      <w:r>
        <w:t xml:space="preserve">Asimismo, de configurar la información recibida una </w:t>
      </w:r>
      <w:r>
        <w:t>violación a la normativa de protección del ambiente, se formula desde ya reserva de ocurrir ante la justicia en procura de una protección del medio vulnerado.</w:t>
      </w:r>
    </w:p>
    <w:p w:rsidR="007D0453" w:rsidRDefault="007D0453">
      <w:pPr>
        <w:spacing w:line="360" w:lineRule="auto"/>
        <w:ind w:firstLine="740"/>
        <w:jc w:val="both"/>
      </w:pPr>
    </w:p>
    <w:p w:rsidR="007D0453" w:rsidRDefault="00684A5F">
      <w:pPr>
        <w:spacing w:line="360" w:lineRule="auto"/>
        <w:ind w:left="720" w:firstLine="720"/>
      </w:pPr>
      <w:r>
        <w:t>VI.  - PETITORIO</w:t>
      </w:r>
    </w:p>
    <w:p w:rsidR="007D0453" w:rsidRDefault="00684A5F">
      <w:pPr>
        <w:spacing w:line="360" w:lineRule="auto"/>
        <w:ind w:left="700"/>
        <w:jc w:val="both"/>
      </w:pPr>
      <w:r>
        <w:t xml:space="preserve">Por lo expuesto: </w:t>
      </w:r>
    </w:p>
    <w:p w:rsidR="007D0453" w:rsidRDefault="00684A5F">
      <w:pPr>
        <w:spacing w:line="360" w:lineRule="auto"/>
        <w:ind w:left="700"/>
        <w:jc w:val="both"/>
      </w:pPr>
      <w:r>
        <w:t xml:space="preserve">1- Se tenga a </w:t>
      </w:r>
      <w:r w:rsidR="00EA4565">
        <w:t>FULANO DE TAL por</w:t>
      </w:r>
      <w:r>
        <w:t xml:space="preserve"> presentad</w:t>
      </w:r>
      <w:r w:rsidR="00EA4565">
        <w:t>o</w:t>
      </w:r>
      <w:r>
        <w:t xml:space="preserve"> y constituid</w:t>
      </w:r>
      <w:r>
        <w:t>o el domicilio legal denunciado en el epígrafe.</w:t>
      </w:r>
    </w:p>
    <w:p w:rsidR="007D0453" w:rsidRDefault="00684A5F">
      <w:pPr>
        <w:spacing w:line="360" w:lineRule="auto"/>
        <w:ind w:left="700"/>
        <w:jc w:val="both"/>
      </w:pPr>
      <w:r>
        <w:t>2-   Se tenga presente el derecho invocado.</w:t>
      </w:r>
    </w:p>
    <w:p w:rsidR="007D0453" w:rsidRDefault="00684A5F">
      <w:pPr>
        <w:spacing w:line="360" w:lineRule="auto"/>
        <w:ind w:left="700"/>
        <w:jc w:val="both"/>
      </w:pPr>
      <w:r>
        <w:t>3</w:t>
      </w:r>
      <w:r w:rsidR="00EA4565">
        <w:t>- Se</w:t>
      </w:r>
      <w:r>
        <w:t xml:space="preserve"> provea la información requerida en los plazos legales.</w:t>
      </w:r>
    </w:p>
    <w:p w:rsidR="00EA4565" w:rsidRDefault="00EA4565">
      <w:pPr>
        <w:spacing w:line="360" w:lineRule="auto"/>
        <w:ind w:left="700"/>
        <w:jc w:val="both"/>
      </w:pPr>
    </w:p>
    <w:p w:rsidR="007D0453" w:rsidRDefault="00684A5F">
      <w:pPr>
        <w:spacing w:line="360" w:lineRule="auto"/>
        <w:ind w:left="700"/>
        <w:jc w:val="both"/>
      </w:pPr>
      <w:r>
        <w:t>Sin más, saluda atentamente</w:t>
      </w:r>
    </w:p>
    <w:p w:rsidR="007D0453" w:rsidRDefault="007D0453">
      <w:pPr>
        <w:spacing w:line="360" w:lineRule="auto"/>
        <w:jc w:val="both"/>
      </w:pPr>
    </w:p>
    <w:p w:rsidR="007D0453" w:rsidRDefault="007D0453">
      <w:pPr>
        <w:spacing w:line="360" w:lineRule="auto"/>
        <w:jc w:val="both"/>
      </w:pPr>
    </w:p>
    <w:p w:rsidR="007D0453" w:rsidRDefault="007D0453" w:rsidP="00EA4565">
      <w:pPr>
        <w:spacing w:line="360" w:lineRule="auto"/>
      </w:pPr>
      <w:bookmarkStart w:id="0" w:name="_GoBack"/>
      <w:bookmarkEnd w:id="0"/>
    </w:p>
    <w:sectPr w:rsidR="007D0453">
      <w:headerReference w:type="default" r:id="rId7"/>
      <w:footerReference w:type="default" r:id="rId8"/>
      <w:pgSz w:w="12240" w:h="2016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A5F" w:rsidRDefault="00684A5F">
      <w:pPr>
        <w:spacing w:line="240" w:lineRule="auto"/>
      </w:pPr>
      <w:r>
        <w:separator/>
      </w:r>
    </w:p>
  </w:endnote>
  <w:endnote w:type="continuationSeparator" w:id="0">
    <w:p w:rsidR="00684A5F" w:rsidRDefault="00684A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453" w:rsidRDefault="007D0453">
    <w:pPr>
      <w:pBdr>
        <w:top w:val="nil"/>
        <w:left w:val="nil"/>
        <w:bottom w:val="nil"/>
        <w:right w:val="nil"/>
        <w:between w:val="nil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A5F" w:rsidRDefault="00684A5F">
      <w:pPr>
        <w:spacing w:line="240" w:lineRule="auto"/>
      </w:pPr>
      <w:r>
        <w:separator/>
      </w:r>
    </w:p>
  </w:footnote>
  <w:footnote w:type="continuationSeparator" w:id="0">
    <w:p w:rsidR="00684A5F" w:rsidRDefault="00684A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453" w:rsidRDefault="007D04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ascii="Cambria" w:eastAsia="Cambria" w:hAnsi="Cambria" w:cs="Cambria"/>
        <w:sz w:val="18"/>
        <w:szCs w:val="18"/>
      </w:rPr>
    </w:pPr>
  </w:p>
  <w:p w:rsidR="007D0453" w:rsidRDefault="007D04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ascii="Cambria" w:eastAsia="Cambria" w:hAnsi="Cambria" w:cs="Cambria"/>
        <w:sz w:val="18"/>
        <w:szCs w:val="18"/>
      </w:rPr>
    </w:pPr>
  </w:p>
  <w:p w:rsidR="007D0453" w:rsidRDefault="007D04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ascii="Cambria" w:eastAsia="Cambria" w:hAnsi="Cambria" w:cs="Cambria"/>
        <w:sz w:val="18"/>
        <w:szCs w:val="18"/>
      </w:rPr>
    </w:pPr>
  </w:p>
  <w:p w:rsidR="007D0453" w:rsidRDefault="007D04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ascii="Cambria" w:eastAsia="Cambria" w:hAnsi="Cambria" w:cs="Cambria"/>
        <w:sz w:val="18"/>
        <w:szCs w:val="18"/>
      </w:rPr>
    </w:pPr>
  </w:p>
  <w:p w:rsidR="007D0453" w:rsidRDefault="007D04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ascii="Cambria" w:eastAsia="Cambria" w:hAnsi="Cambria" w:cs="Cambria"/>
        <w:sz w:val="18"/>
        <w:szCs w:val="18"/>
      </w:rPr>
    </w:pPr>
  </w:p>
  <w:p w:rsidR="007D0453" w:rsidRDefault="007D04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ascii="Cambria" w:eastAsia="Cambria" w:hAnsi="Cambria" w:cs="Cambria"/>
        <w:sz w:val="18"/>
        <w:szCs w:val="18"/>
      </w:rPr>
    </w:pPr>
  </w:p>
  <w:p w:rsidR="007D0453" w:rsidRDefault="007D0453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61CFA"/>
    <w:multiLevelType w:val="multilevel"/>
    <w:tmpl w:val="BB7C172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453"/>
    <w:rsid w:val="00684A5F"/>
    <w:rsid w:val="007D0453"/>
    <w:rsid w:val="00EA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49B9C4"/>
  <w15:docId w15:val="{8F320738-FAC9-D549-80F5-97920128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EA456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565"/>
  </w:style>
  <w:style w:type="paragraph" w:styleId="Piedepgina">
    <w:name w:val="footer"/>
    <w:basedOn w:val="Normal"/>
    <w:link w:val="PiedepginaCar"/>
    <w:uiPriority w:val="99"/>
    <w:unhideWhenUsed/>
    <w:rsid w:val="00EA456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1234</Words>
  <Characters>7223</Characters>
  <Application>Microsoft Office Word</Application>
  <DocSecurity>0</DocSecurity>
  <Lines>157</Lines>
  <Paragraphs>72</Paragraphs>
  <ScaleCrop>false</ScaleCrop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</cp:lastModifiedBy>
  <cp:revision>2</cp:revision>
  <dcterms:created xsi:type="dcterms:W3CDTF">2021-02-05T14:22:00Z</dcterms:created>
  <dcterms:modified xsi:type="dcterms:W3CDTF">2021-02-05T14:22:00Z</dcterms:modified>
</cp:coreProperties>
</file>